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E0DBF" w:rsidP="008540E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540E8" w:rsidRPr="008540E8">
              <w:rPr>
                <w:rFonts w:asciiTheme="majorHAnsi" w:hAnsiTheme="majorHAnsi" w:cs="Arial"/>
                <w:b/>
                <w:sz w:val="18"/>
                <w:szCs w:val="18"/>
              </w:rPr>
              <w:t>Toxicological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7551A">
              <w:rPr>
                <w:rFonts w:asciiTheme="majorHAnsi" w:hAnsiTheme="majorHAnsi" w:cs="Arial"/>
                <w:b/>
                <w:sz w:val="18"/>
                <w:szCs w:val="18"/>
              </w:rPr>
              <w:t>TC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BF4B3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F4B37">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34339">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EE0DB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760E24">
                    <w:rPr>
                      <w:rFonts w:asciiTheme="majorHAnsi" w:hAnsiTheme="majorHAnsi" w:cs="Arial"/>
                      <w:b/>
                      <w:sz w:val="18"/>
                      <w:szCs w:val="18"/>
                    </w:rPr>
                  </w:r>
                  <w:r w:rsidR="00760E24">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F343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4339">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F343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4339">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433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b/>
                <w:sz w:val="18"/>
                <w:szCs w:val="18"/>
              </w:rPr>
              <w:t>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3433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Pr>
                <w:rFonts w:asciiTheme="majorHAnsi" w:hAnsiTheme="majorHAnsi" w:cs="Arial"/>
                <w:b/>
                <w:sz w:val="18"/>
                <w:szCs w:val="18"/>
              </w:rPr>
              <w:t>100,75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E0DBF" w:rsidP="00F343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F34339">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E0DB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sidRPr="00F34339">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BF4B3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4B37" w:rsidRPr="00BF4B37">
              <w:rPr>
                <w:rFonts w:asciiTheme="majorHAnsi" w:hAnsiTheme="majorHAnsi" w:cs="Arial"/>
                <w:b/>
                <w:sz w:val="18"/>
                <w:szCs w:val="18"/>
              </w:rPr>
              <w:t>Chemistry / Chemistry / Specialization: Medicinal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E0D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sidRPr="00F34339">
              <w:rPr>
                <w:rFonts w:asciiTheme="majorHAnsi" w:hAnsiTheme="majorHAnsi" w:cs="Arial"/>
                <w:b/>
                <w:sz w:val="18"/>
                <w:szCs w:val="18"/>
              </w:rPr>
              <w:t>Maida Šljivić Husejnović, PhD, 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E0D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sidRPr="00F34339">
              <w:rPr>
                <w:rFonts w:asciiTheme="majorHAnsi" w:hAnsiTheme="majorHAnsi" w:cs="Arial"/>
                <w:b/>
                <w:sz w:val="18"/>
                <w:szCs w:val="18"/>
              </w:rPr>
              <w:t xml:space="preserve">Introduction of students to the theoretical principles of toxicology, the most common types of poisons and their antidotes, as well as the basic principles of toxicological chemistry in the detection of poisons in all types of samples. Training </w:t>
            </w:r>
            <w:r w:rsidR="00F34339" w:rsidRPr="00F34339">
              <w:rPr>
                <w:rFonts w:asciiTheme="majorHAnsi" w:hAnsiTheme="majorHAnsi" w:cs="Arial"/>
                <w:b/>
                <w:sz w:val="18"/>
                <w:szCs w:val="18"/>
              </w:rPr>
              <w:lastRenderedPageBreak/>
              <w:t>students for independent professional and scientific work in laboratories engaged in toxicological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E0DBF" w:rsidP="00F343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sidRPr="00F34339">
              <w:rPr>
                <w:rFonts w:asciiTheme="majorHAnsi" w:hAnsiTheme="majorHAnsi" w:cs="Arial"/>
                <w:b/>
                <w:sz w:val="18"/>
                <w:szCs w:val="18"/>
              </w:rPr>
              <w:t>Upon successful completion of the course, the student is able to apply the acquired knowledge and skills in the study of the chemical structure and effects of various poisons in biological systems. To relate hazard, risk, and safety of toxic substances to human health and the environment.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E0DBF" w:rsidP="00F343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sidRPr="00F34339">
              <w:rPr>
                <w:rFonts w:asciiTheme="majorHAnsi" w:hAnsiTheme="majorHAnsi" w:cs="Arial"/>
                <w:b/>
                <w:sz w:val="18"/>
                <w:szCs w:val="18"/>
              </w:rPr>
              <w:t>Basic concepts in toxicology. Criteria and factors of toxicity. Dose–response relationship. Toxicity tests. Routes of exposure of poisons into the organism, distribution, metabolism, elimination, accumulation of poisons, and interactions of poisons. Organization and role of the toxicological-chemical laboratory. Samples and sampling of materials for toxicological-chemical analysis: air, water, soil, and biological material. Methods for the isolation of poisons from toxicological material. Mineral, gaseous, and natural poisons. Fundamentals of radiotoxicology. Substances that cause dependence. Application of legal regulations in protection against poisons.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34339" w:rsidRPr="00F34339" w:rsidRDefault="00EE0DBF" w:rsidP="00F3433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4339" w:rsidRPr="00F34339">
              <w:rPr>
                <w:rFonts w:asciiTheme="majorHAnsi" w:hAnsiTheme="majorHAnsi" w:cs="Arial"/>
                <w:b/>
                <w:sz w:val="18"/>
                <w:szCs w:val="18"/>
              </w:rPr>
              <w:t>For the purpose of effective course delivery and the achievement of the expected course outcomes and student competencies by the end of the semester, various teaching methods are employed:</w:t>
            </w:r>
          </w:p>
          <w:p w:rsidR="00F34339" w:rsidRPr="00F34339" w:rsidRDefault="00F34339" w:rsidP="00F34339">
            <w:pPr>
              <w:pStyle w:val="NoSpacing"/>
              <w:rPr>
                <w:rFonts w:asciiTheme="majorHAnsi" w:hAnsiTheme="majorHAnsi" w:cs="Arial"/>
                <w:b/>
                <w:sz w:val="18"/>
                <w:szCs w:val="18"/>
              </w:rPr>
            </w:pPr>
            <w:r w:rsidRPr="00F34339">
              <w:rPr>
                <w:rFonts w:asciiTheme="majorHAnsi" w:hAnsiTheme="majorHAnsi" w:cs="Arial"/>
                <w:b/>
                <w:sz w:val="18"/>
                <w:szCs w:val="18"/>
              </w:rPr>
              <w:t>– lectures using multimedia tools, active learning techniques, and active student participation and discussion;</w:t>
            </w:r>
          </w:p>
          <w:p w:rsidR="00F34339" w:rsidRPr="00F34339" w:rsidRDefault="00F34339" w:rsidP="00F34339">
            <w:pPr>
              <w:pStyle w:val="NoSpacing"/>
              <w:rPr>
                <w:rFonts w:asciiTheme="majorHAnsi" w:hAnsiTheme="majorHAnsi" w:cs="Arial"/>
                <w:b/>
                <w:sz w:val="18"/>
                <w:szCs w:val="18"/>
              </w:rPr>
            </w:pPr>
            <w:r w:rsidRPr="00F34339">
              <w:rPr>
                <w:rFonts w:asciiTheme="majorHAnsi" w:hAnsiTheme="majorHAnsi" w:cs="Arial"/>
                <w:b/>
                <w:sz w:val="18"/>
                <w:szCs w:val="18"/>
              </w:rPr>
              <w:t>– preparation of a seminar paper based on collected literature and its oral presentation;</w:t>
            </w:r>
          </w:p>
          <w:p w:rsidR="00CB72ED" w:rsidRPr="00B96B4F" w:rsidRDefault="00F34339" w:rsidP="00F34339">
            <w:pPr>
              <w:pStyle w:val="NoSpacing"/>
              <w:rPr>
                <w:rFonts w:asciiTheme="majorHAnsi" w:hAnsiTheme="majorHAnsi" w:cs="Arial"/>
                <w:b/>
                <w:sz w:val="18"/>
                <w:szCs w:val="18"/>
              </w:rPr>
            </w:pPr>
            <w:r w:rsidRPr="00F34339">
              <w:rPr>
                <w:rFonts w:asciiTheme="majorHAnsi" w:hAnsiTheme="majorHAnsi" w:cs="Arial"/>
                <w:b/>
                <w:sz w:val="18"/>
                <w:szCs w:val="18"/>
              </w:rPr>
              <w:t>– consultations.</w:t>
            </w:r>
            <w:r w:rsidR="00FB48B6" w:rsidRPr="00B96B4F">
              <w:rPr>
                <w:rFonts w:asciiTheme="majorHAnsi" w:hAnsiTheme="majorHAnsi" w:cs="Arial"/>
                <w:b/>
                <w:sz w:val="18"/>
                <w:szCs w:val="18"/>
              </w:rPr>
              <w:t>     </w:t>
            </w:r>
            <w:r w:rsidR="00EE0D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27129" w:rsidRPr="00E27129" w:rsidRDefault="00EE0DBF" w:rsidP="00E271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27129" w:rsidRPr="00E27129">
              <w:rPr>
                <w:rFonts w:asciiTheme="majorHAnsi" w:hAnsiTheme="majorHAnsi" w:cs="Arial"/>
                <w:b/>
                <w:sz w:val="18"/>
                <w:szCs w:val="18"/>
              </w:rPr>
              <w:t>Pre-exam activities (min 55, max 100 points)</w:t>
            </w:r>
          </w:p>
          <w:p w:rsidR="00E27129" w:rsidRPr="00E27129" w:rsidRDefault="00E27129" w:rsidP="00E27129">
            <w:pPr>
              <w:pStyle w:val="NoSpacing"/>
              <w:rPr>
                <w:rFonts w:asciiTheme="majorHAnsi" w:hAnsiTheme="majorHAnsi" w:cs="Arial"/>
                <w:b/>
                <w:sz w:val="18"/>
                <w:szCs w:val="18"/>
              </w:rPr>
            </w:pPr>
            <w:r>
              <w:rPr>
                <w:rFonts w:asciiTheme="majorHAnsi" w:hAnsiTheme="majorHAnsi" w:cs="Arial"/>
                <w:b/>
                <w:sz w:val="18"/>
                <w:szCs w:val="18"/>
              </w:rPr>
              <w:t xml:space="preserve">         </w:t>
            </w:r>
            <w:r w:rsidRPr="00E27129">
              <w:rPr>
                <w:rFonts w:asciiTheme="majorHAnsi" w:hAnsiTheme="majorHAnsi" w:cs="Arial"/>
                <w:b/>
                <w:sz w:val="18"/>
                <w:szCs w:val="18"/>
              </w:rPr>
              <w:t xml:space="preserve"> regular attendance and participation in lectures: 0–10 points</w:t>
            </w:r>
          </w:p>
          <w:p w:rsidR="00E27129" w:rsidRPr="00E27129" w:rsidRDefault="00E27129" w:rsidP="00E27129">
            <w:pPr>
              <w:pStyle w:val="NoSpacing"/>
              <w:rPr>
                <w:rFonts w:asciiTheme="majorHAnsi" w:hAnsiTheme="majorHAnsi" w:cs="Arial"/>
                <w:b/>
                <w:sz w:val="18"/>
                <w:szCs w:val="18"/>
              </w:rPr>
            </w:pPr>
            <w:r>
              <w:rPr>
                <w:rFonts w:asciiTheme="majorHAnsi" w:hAnsiTheme="majorHAnsi" w:cs="Arial"/>
                <w:b/>
                <w:sz w:val="18"/>
                <w:szCs w:val="18"/>
              </w:rPr>
              <w:t xml:space="preserve">         </w:t>
            </w:r>
            <w:r w:rsidRPr="00E27129">
              <w:rPr>
                <w:rFonts w:asciiTheme="majorHAnsi" w:hAnsiTheme="majorHAnsi" w:cs="Arial"/>
                <w:b/>
                <w:sz w:val="18"/>
                <w:szCs w:val="18"/>
              </w:rPr>
              <w:t xml:space="preserve"> seminar paper: 0–20 points</w:t>
            </w:r>
          </w:p>
          <w:p w:rsidR="00E27129" w:rsidRPr="00E27129" w:rsidRDefault="00E27129" w:rsidP="00E27129">
            <w:pPr>
              <w:pStyle w:val="NoSpacing"/>
              <w:rPr>
                <w:rFonts w:asciiTheme="majorHAnsi" w:hAnsiTheme="majorHAnsi" w:cs="Arial"/>
                <w:b/>
                <w:sz w:val="18"/>
                <w:szCs w:val="18"/>
              </w:rPr>
            </w:pPr>
            <w:r>
              <w:rPr>
                <w:rFonts w:asciiTheme="majorHAnsi" w:hAnsiTheme="majorHAnsi" w:cs="Arial"/>
                <w:b/>
                <w:sz w:val="18"/>
                <w:szCs w:val="18"/>
              </w:rPr>
              <w:t xml:space="preserve">         </w:t>
            </w:r>
            <w:r w:rsidRPr="00E27129">
              <w:rPr>
                <w:rFonts w:asciiTheme="majorHAnsi" w:hAnsiTheme="majorHAnsi" w:cs="Arial"/>
                <w:b/>
                <w:sz w:val="18"/>
                <w:szCs w:val="18"/>
              </w:rPr>
              <w:t xml:space="preserve"> first midterm exam: 20–35 points</w:t>
            </w:r>
          </w:p>
          <w:p w:rsidR="00E27129" w:rsidRDefault="00E27129" w:rsidP="00E27129">
            <w:pPr>
              <w:pStyle w:val="NoSpacing"/>
              <w:rPr>
                <w:rFonts w:asciiTheme="majorHAnsi" w:hAnsiTheme="majorHAnsi" w:cs="Arial"/>
                <w:b/>
                <w:sz w:val="18"/>
                <w:szCs w:val="18"/>
              </w:rPr>
            </w:pPr>
            <w:r>
              <w:rPr>
                <w:rFonts w:asciiTheme="majorHAnsi" w:hAnsiTheme="majorHAnsi" w:cs="Arial"/>
                <w:b/>
                <w:sz w:val="18"/>
                <w:szCs w:val="18"/>
              </w:rPr>
              <w:t xml:space="preserve">          </w:t>
            </w:r>
            <w:r w:rsidRPr="00E27129">
              <w:rPr>
                <w:rFonts w:asciiTheme="majorHAnsi" w:hAnsiTheme="majorHAnsi" w:cs="Arial"/>
                <w:b/>
                <w:sz w:val="18"/>
                <w:szCs w:val="18"/>
              </w:rPr>
              <w:t>second midterm/final exam: 20–35 points</w:t>
            </w:r>
          </w:p>
          <w:p w:rsidR="00E27129" w:rsidRPr="00E27129" w:rsidRDefault="00E27129" w:rsidP="00E27129">
            <w:pPr>
              <w:pStyle w:val="NoSpacing"/>
              <w:rPr>
                <w:rFonts w:asciiTheme="majorHAnsi" w:hAnsiTheme="majorHAnsi" w:cs="Arial"/>
                <w:b/>
                <w:sz w:val="18"/>
                <w:szCs w:val="18"/>
              </w:rPr>
            </w:pP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Class participation: During lectures, the student actively participates in the teaching process and demonstrates engagement in class activities. Student activity and regular attendance are assessed with 0–10 points.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Seminar paper: Students prepare a seminar paper based on collected literature on an assigned topic and defend it orally. Independent student work is awarded up to 20 points.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Examination: Students may take the exam in two parts, orally and/or in written form. The first midterm exam covers the first 50% of the course content and is taken during the semester, after completing the designated teaching units. To pass this part, the student must achieve 20–35 points. The second midterm/final exam covers the remaining 50% of the course content and is taken at the end of the semester, after all lectures have been completed. The student must achieve a total number of points from the prescribed activities and assessments that meets the criteria for a passing grade.</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If the student does not achieve a sufficient number of points within the pre-exam activities to register a grade, the final exam and any unpassed parts of the exam are taken during the regular and resit examination periods.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The final grade is obtained by summing the individual points achieved in all forms of assessment during the semester. If a student is not satisfied with the final grade, they may cancel the points from any part of the exam and retake it in the resit term or opt for an oral examination.</w:t>
            </w:r>
          </w:p>
          <w:p w:rsidR="00CB72ED" w:rsidRPr="00B96B4F"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If a student engages in cheating or uses unauthorized technical aids during the exam, they will be removed from the examination, and their work will not be graded.</w:t>
            </w:r>
            <w:r w:rsidR="00FB48B6" w:rsidRPr="00B96B4F">
              <w:rPr>
                <w:rFonts w:asciiTheme="majorHAnsi" w:hAnsiTheme="majorHAnsi" w:cs="Arial"/>
                <w:b/>
                <w:sz w:val="18"/>
                <w:szCs w:val="18"/>
              </w:rPr>
              <w:t>    </w:t>
            </w:r>
            <w:r w:rsidR="00EE0D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27129" w:rsidRPr="00E27129" w:rsidRDefault="00EE0DBF" w:rsidP="00E271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27129" w:rsidRPr="00E27129">
              <w:rPr>
                <w:rFonts w:asciiTheme="majorHAnsi" w:hAnsiTheme="majorHAnsi" w:cs="Arial"/>
                <w:b/>
                <w:sz w:val="18"/>
                <w:szCs w:val="18"/>
              </w:rPr>
              <w:t>Student performance is continuously monitored during the course and expressed in points.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The final achievement of the student, after all prescribed forms of assessment, is evaluated and graded as follows: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10 (A) – 95–100 – outstanding performance with no or negligible errors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9 (B) – 85–94 – above average, with minor errors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8 (C) – 75–84 – with noticeable errors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7 (D) – 65–74 – generally good, with significant shortcomings</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6 (E) – 55–64 – meets the minimum criteria</w:t>
            </w:r>
          </w:p>
          <w:p w:rsidR="00CB72ED" w:rsidRPr="00B96B4F"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5 (F, FX) – &lt;55 – does not meet the minimum criteria</w:t>
            </w:r>
            <w:r w:rsidR="00FB48B6" w:rsidRPr="00B96B4F">
              <w:rPr>
                <w:rFonts w:asciiTheme="majorHAnsi" w:hAnsiTheme="majorHAnsi" w:cs="Arial"/>
                <w:b/>
                <w:sz w:val="18"/>
                <w:szCs w:val="18"/>
              </w:rPr>
              <w:t>     </w:t>
            </w:r>
            <w:r w:rsidR="00EE0D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27129" w:rsidRPr="00E27129" w:rsidRDefault="00EE0DBF" w:rsidP="00E271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27129" w:rsidRPr="00E27129">
              <w:rPr>
                <w:rFonts w:asciiTheme="majorHAnsi" w:hAnsiTheme="majorHAnsi" w:cs="Arial"/>
                <w:b/>
                <w:sz w:val="18"/>
                <w:szCs w:val="18"/>
              </w:rPr>
              <w:t>1. Autorizovana predavanja nastavnika</w:t>
            </w:r>
          </w:p>
          <w:p w:rsidR="00E27129" w:rsidRPr="00E27129"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2. Mokranjac M. Toksikološka hemija.Grafopan;2001</w:t>
            </w:r>
          </w:p>
          <w:p w:rsidR="00CB72ED" w:rsidRPr="00B96B4F"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 xml:space="preserve">3. Jokanović M. Toksikologija. Elit Medika, Beograd; 2001     </w:t>
            </w:r>
            <w:r w:rsidR="00FB48B6" w:rsidRPr="00B96B4F">
              <w:rPr>
                <w:rFonts w:asciiTheme="majorHAnsi" w:hAnsiTheme="majorHAnsi" w:cs="Arial"/>
                <w:b/>
                <w:sz w:val="18"/>
                <w:szCs w:val="18"/>
              </w:rPr>
              <w:t>   </w:t>
            </w:r>
            <w:r w:rsidR="00EE0D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27129" w:rsidRPr="00E27129" w:rsidRDefault="00EE0DBF" w:rsidP="00E27129">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27129" w:rsidRPr="00E27129">
              <w:rPr>
                <w:rFonts w:asciiTheme="majorHAnsi" w:hAnsiTheme="majorHAnsi" w:cs="Arial"/>
                <w:b/>
                <w:sz w:val="18"/>
                <w:szCs w:val="18"/>
              </w:rPr>
              <w:t xml:space="preserve">1. Sofilić T, Makić H. Toksikologija, Sveučilište u Zagrebu;2019 </w:t>
            </w:r>
          </w:p>
          <w:p w:rsidR="00CB72ED" w:rsidRPr="00B96B4F" w:rsidRDefault="00E27129" w:rsidP="00E27129">
            <w:pPr>
              <w:pStyle w:val="NoSpacing"/>
              <w:rPr>
                <w:rFonts w:asciiTheme="majorHAnsi" w:hAnsiTheme="majorHAnsi" w:cs="Arial"/>
                <w:b/>
                <w:sz w:val="18"/>
                <w:szCs w:val="18"/>
              </w:rPr>
            </w:pPr>
            <w:r w:rsidRPr="00E27129">
              <w:rPr>
                <w:rFonts w:asciiTheme="majorHAnsi" w:hAnsiTheme="majorHAnsi" w:cs="Arial"/>
                <w:b/>
                <w:sz w:val="18"/>
                <w:szCs w:val="18"/>
              </w:rPr>
              <w:t xml:space="preserve">2. Đorđević S. Odabrana poglavlja toksikološke hemije 2. Prado,Beograd;2016    </w:t>
            </w:r>
            <w:r w:rsidR="00FB48B6" w:rsidRPr="00B96B4F">
              <w:rPr>
                <w:rFonts w:asciiTheme="majorHAnsi" w:hAnsiTheme="majorHAnsi" w:cs="Arial"/>
                <w:b/>
                <w:sz w:val="18"/>
                <w:szCs w:val="18"/>
              </w:rPr>
              <w:t>    </w:t>
            </w:r>
            <w:r w:rsidR="00EE0D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E0D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E0DBF" w:rsidP="0018228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27129">
              <w:rPr>
                <w:rFonts w:asciiTheme="majorHAnsi" w:hAnsiTheme="majorHAnsi" w:cs="Arial"/>
                <w:b/>
                <w:sz w:val="18"/>
                <w:szCs w:val="18"/>
              </w:rPr>
              <w:t>202</w:t>
            </w:r>
            <w:r w:rsidR="00182288">
              <w:rPr>
                <w:rFonts w:asciiTheme="majorHAnsi" w:hAnsiTheme="majorHAnsi" w:cs="Arial"/>
                <w:b/>
                <w:sz w:val="18"/>
                <w:szCs w:val="18"/>
              </w:rPr>
              <w:t>4</w:t>
            </w:r>
            <w:r w:rsidR="00E27129">
              <w:rPr>
                <w:rFonts w:asciiTheme="majorHAnsi" w:hAnsiTheme="majorHAnsi" w:cs="Arial"/>
                <w:b/>
                <w:sz w:val="18"/>
                <w:szCs w:val="18"/>
              </w:rPr>
              <w:t>/2</w:t>
            </w:r>
            <w:r w:rsidR="00182288">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EE0DBF">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57551A">
              <w:rPr>
                <w:rFonts w:asciiTheme="majorHAnsi" w:hAnsiTheme="majorHAnsi" w:cs="Arial"/>
                <w:b/>
                <w:spacing w:val="215"/>
                <w:sz w:val="18"/>
                <w:szCs w:val="18"/>
              </w:rPr>
              <w:t>    </w:t>
            </w:r>
            <w:r w:rsidR="00FB48B6" w:rsidRPr="0057551A">
              <w:rPr>
                <w:rFonts w:asciiTheme="majorHAnsi" w:hAnsiTheme="majorHAnsi" w:cs="Arial"/>
                <w:b/>
                <w:spacing w:val="3"/>
                <w:sz w:val="18"/>
                <w:szCs w:val="18"/>
              </w:rPr>
              <w:t> </w:t>
            </w:r>
            <w:r w:rsidRPr="0057551A">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E24" w:rsidRDefault="00760E24">
      <w:pPr>
        <w:spacing w:line="240" w:lineRule="auto"/>
      </w:pPr>
      <w:r>
        <w:separator/>
      </w:r>
    </w:p>
  </w:endnote>
  <w:endnote w:type="continuationSeparator" w:id="0">
    <w:p w:rsidR="00760E24" w:rsidRDefault="00760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EE0DB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57551A">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EE0DBF">
            <w:rPr>
              <w:rFonts w:ascii="Cambria" w:hAnsi="Cambria" w:cs="Calibri"/>
              <w:sz w:val="16"/>
              <w:szCs w:val="16"/>
            </w:rPr>
            <w:fldChar w:fldCharType="begin"/>
          </w:r>
          <w:r w:rsidR="00FB48B6">
            <w:rPr>
              <w:rFonts w:ascii="Cambria" w:hAnsi="Cambria" w:cs="Calibri"/>
              <w:sz w:val="16"/>
              <w:szCs w:val="16"/>
            </w:rPr>
            <w:instrText xml:space="preserve"> PAGE </w:instrText>
          </w:r>
          <w:r w:rsidR="00EE0DBF">
            <w:rPr>
              <w:rFonts w:ascii="Cambria" w:hAnsi="Cambria" w:cs="Calibri"/>
              <w:sz w:val="16"/>
              <w:szCs w:val="16"/>
            </w:rPr>
            <w:fldChar w:fldCharType="separate"/>
          </w:r>
          <w:r w:rsidR="0057551A">
            <w:rPr>
              <w:rFonts w:ascii="Cambria" w:hAnsi="Cambria" w:cs="Calibri"/>
              <w:noProof/>
              <w:sz w:val="16"/>
              <w:szCs w:val="16"/>
            </w:rPr>
            <w:t>1</w:t>
          </w:r>
          <w:r w:rsidR="00EE0DBF">
            <w:rPr>
              <w:rFonts w:ascii="Cambria" w:hAnsi="Cambria" w:cs="Calibri"/>
              <w:sz w:val="16"/>
              <w:szCs w:val="16"/>
            </w:rPr>
            <w:fldChar w:fldCharType="end"/>
          </w:r>
          <w:r w:rsidR="00FB48B6">
            <w:rPr>
              <w:rFonts w:ascii="Cambria" w:hAnsi="Cambria" w:cs="Calibri"/>
              <w:sz w:val="16"/>
              <w:szCs w:val="16"/>
            </w:rPr>
            <w:t>/</w:t>
          </w:r>
          <w:r w:rsidR="00EE0DBF">
            <w:rPr>
              <w:rFonts w:ascii="Cambria" w:hAnsi="Cambria" w:cs="Calibri"/>
              <w:sz w:val="16"/>
              <w:szCs w:val="16"/>
            </w:rPr>
            <w:fldChar w:fldCharType="begin"/>
          </w:r>
          <w:r w:rsidR="00FB48B6">
            <w:rPr>
              <w:rFonts w:ascii="Cambria" w:hAnsi="Cambria" w:cs="Calibri"/>
              <w:sz w:val="16"/>
              <w:szCs w:val="16"/>
            </w:rPr>
            <w:instrText xml:space="preserve"> NUMPAGES  </w:instrText>
          </w:r>
          <w:r w:rsidR="00EE0DBF">
            <w:rPr>
              <w:rFonts w:ascii="Cambria" w:hAnsi="Cambria" w:cs="Calibri"/>
              <w:sz w:val="16"/>
              <w:szCs w:val="16"/>
            </w:rPr>
            <w:fldChar w:fldCharType="separate"/>
          </w:r>
          <w:r w:rsidR="0057551A">
            <w:rPr>
              <w:rFonts w:ascii="Cambria" w:hAnsi="Cambria" w:cs="Calibri"/>
              <w:noProof/>
              <w:sz w:val="16"/>
              <w:szCs w:val="16"/>
            </w:rPr>
            <w:t>3</w:t>
          </w:r>
          <w:r w:rsidR="00EE0DBF">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E24" w:rsidRDefault="00760E24">
      <w:pPr>
        <w:spacing w:after="0"/>
      </w:pPr>
      <w:r>
        <w:separator/>
      </w:r>
    </w:p>
  </w:footnote>
  <w:footnote w:type="continuationSeparator" w:id="0">
    <w:p w:rsidR="00760E24" w:rsidRDefault="00760E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2288"/>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3760"/>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422D"/>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747F5"/>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7551A"/>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816FB"/>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0E24"/>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540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4B37"/>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27129"/>
    <w:rsid w:val="00E406A0"/>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0DBF"/>
    <w:rsid w:val="00EE2B1A"/>
    <w:rsid w:val="00EE7522"/>
    <w:rsid w:val="00EF5F84"/>
    <w:rsid w:val="00F03408"/>
    <w:rsid w:val="00F075A1"/>
    <w:rsid w:val="00F12E3E"/>
    <w:rsid w:val="00F15264"/>
    <w:rsid w:val="00F2055F"/>
    <w:rsid w:val="00F22194"/>
    <w:rsid w:val="00F30C75"/>
    <w:rsid w:val="00F34339"/>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61314"/>
  <w15:docId w15:val="{6EB825F7-B3B7-41F3-AC24-9DC6D032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79C22-4F3C-4952-B555-A28A3BBD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8</cp:revision>
  <cp:lastPrinted>2024-03-25T13:56:00Z</cp:lastPrinted>
  <dcterms:created xsi:type="dcterms:W3CDTF">2026-04-25T05:37:00Z</dcterms:created>
  <dcterms:modified xsi:type="dcterms:W3CDTF">2026-04-27T11:26:00Z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